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результати проведених заходів у межах Національного тижня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безбар’єрності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Чернігівській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2026 році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tbl>
      <w:tblPr>
        <w:tblStyle w:val="670"/>
        <w:tblW w:w="9889" w:type="dxa"/>
        <w:tblBorders/>
        <w:tblLook w:val="04A0" w:firstRow="1" w:lastRow="0" w:firstColumn="1" w:lastColumn="0" w:noHBand="0" w:noVBand="1"/>
      </w:tblPr>
      <w:tblGrid>
        <w:gridCol w:w="2943"/>
        <w:gridCol w:w="6946"/>
      </w:tblGrid>
      <w:tr>
        <w:trPr>
          <w:trHeight w:val="656"/>
        </w:trPr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Заплановано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заходів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481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Проведено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заходів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513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>
          <w:trHeight w:val="865"/>
        </w:trPr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Загальна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охоплених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осіб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22044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осіб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охоплених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офлайн-заходами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19037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>
          <w:trHeight w:val="1017"/>
        </w:trPr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осіб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охоплених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онлайн-заходами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3007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публікацій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514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>
          <w:trHeight w:val="767"/>
        </w:trPr>
        <w:tc>
          <w:tcPr>
            <w:tcBorders/>
            <w:tcW w:w="29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Загальне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охоплення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публікацій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53389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Найбільш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успішні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заходи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Style w:val="671"/>
              <w:numPr>
                <w:ilvl w:val="0"/>
                <w:numId w:val="1"/>
              </w:numPr>
              <w:pBdr/>
              <w:spacing w:after="100" w:afterAutospacing="1"/>
              <w:ind w:firstLine="108"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Семінар-тренінг щодо створення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простору у закладах культури на тему: "Як зробити заклад культури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безбар’єрним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: кроки, рішення, інструменти".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pBdr/>
              <w:spacing w:after="100" w:afterAutospacing="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Дата провед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ення заходу 25 травня 2026 року. У заході взяли участь понад 90 осіб у очному та онлайн-форматах, серед яких керівники та працівники закладів культури, представники органів влади, громадських організацій, експерти з архітектурної доступності та амбасадори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pBdr/>
              <w:spacing w:after="100" w:afterAutospacing="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Основни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ми результатами заходу стали обговорення нормативних вимог щодо створення інклюзивного простору в закладах культури, представлення результатів моніторингу фізичної доступності закладів культури Чернігівської області, розгляд практичних кейсів впровадження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рішень та питань інформаційної і комунікаційної доступності, поширення успішного досвіду створення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середовища на прикладі Чернігівського обласного художнього музею імені Григорія Галагана, а також підвищення обізнаності учасників щодо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формування доступного культурного середовища та реалізації принципів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numPr>
                <w:ilvl w:val="0"/>
                <w:numId w:val="1"/>
              </w:numPr>
              <w:pBdr/>
              <w:spacing w:after="100" w:afterAutospacing="1"/>
              <w:ind w:hanging="34"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29.05.2026 проведено Бліц-турнір із шахів серед осіб з інвалідністю.  Кількість учасників 40 осіб. Турнір став підтвердженням того, що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безбар’єрність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— це про рівні можливості, підтримку, взаємоповагу та право кожного реалізовувати свій потенціал. </w:t>
            </w:r>
            <w:hyperlink r:id="rId9" w:tooltip="https://www.facebook.com/share/p/1bBXJKHZZc/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https://www.facebook.com/share/p/1bBXJKHZZc/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numPr>
                <w:ilvl w:val="0"/>
                <w:numId w:val="1"/>
              </w:numPr>
              <w:pBdr/>
              <w:spacing w:after="100" w:afterAutospacing="1"/>
              <w:ind w:hanging="34"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Протягом тижня було проведено спортивно-оздоровчі заходи для військовослужбовців, які отримали поранення та проходять реабілітацію. Кількість учасників близько 50 осіб. Такі заходи ще одне нагадування про те, що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безбар’єрність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— це створення можливостей для кожного, незалежно від життєвих обставин. </w:t>
            </w:r>
            <w:hyperlink r:id="rId10" w:tooltip="https://www.facebook.com/share/r/1DdjX91CJU/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https://www.facebook.com/share/r/1DdjX91CJU/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numPr>
                <w:ilvl w:val="0"/>
                <w:numId w:val="1"/>
              </w:numPr>
              <w:pBdr/>
              <w:spacing w:after="100" w:afterAutospacing="1"/>
              <w:ind w:hanging="34"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27.05.2026 відбувся  Чемпіонат Чернігівської області з пара тенісу настільного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тенісу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серед осіб з порушеннями розумового та фізичного розвитку. Кількість учасників близько 20 осіб. Спорт об’єднує, надихає та відкриває нові можливості для кожного, незалежно від життєвих обставин. </w:t>
            </w:r>
            <w:hyperlink r:id="rId11" w:tooltip="https://www.facebook.com/share/p/1CZCWdy6bQ/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https://www.facebook.com/share/p/1CZCWdy6bQ/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Style w:val="671"/>
              <w:numPr>
                <w:ilvl w:val="0"/>
                <w:numId w:val="1"/>
              </w:numPr>
              <w:pBdr/>
              <w:spacing w:after="100" w:afterAutospacing="1"/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26-27.05.2026 відбувся Чемпіонат Чернігівської області з шахів серед осіб з порушеннями зору та слуху. Кількість учасників близько 25. Проведення таких заходів є важливим кроком до створення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середовища, де кожен має можливість проявити свої здібності, досягати успіхів та відчувати підтримку суспільства. </w:t>
            </w:r>
            <w:hyperlink r:id="rId12" w:tooltip="https://www.facebook.com/share/p/1BD9RFvaAX/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https://www.facebook.com/share/p/1BD9RFvaAX/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Borders/>
            <w:tcW w:w="2943" w:type="dxa"/>
            <w:textDirection w:val="lrTb"/>
            <w:noWrap w:val="false"/>
          </w:tcPr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Заходи які відбулись за участі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обласної державної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адмінстарції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r>
          </w:p>
          <w:p>
            <w:pPr>
              <w:pBdr/>
              <w:spacing w:after="100" w:afterAutospacing="1"/>
              <w:ind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26.05.2026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участі першого заступника голови Чернігівської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обласної державної адміністрації Костянтина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Мегема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відбулась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зустріч «Діалог влади та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бізнесу», присвячена питанням економічної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підтримки агробізнесу. Під час заходу розглянуто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лючові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безбар’єрні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інструменти розвитку підприємництва, питання створення умов для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розширення доступу суб’єктів господарювання до програм підтримки,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необхідної інформації та можливостей для розвитку власної справи. Особливий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акцент зроблено на підтримці агробізнесу та локальних виробників. Крім того,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представлено дослідження, спрямоване на подолання гендерних і соціальних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бар’єрів, підтримку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самозайнятості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жінок.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заході взяли участь 54 особи.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/>
            <w:hyperlink r:id="rId13" w:tooltip="https://economy.cg.gov.ua/index.php?id=545919&amp;tp=0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https://economy.cg.gov.ua/index.php?id=545919&amp;tp=0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/>
            <w:hyperlink r:id="rId14" w:tooltip="https://www.facebook.com/share/p/18uRPba8uB" w:history="1">
              <w:r>
                <w:rPr>
                  <w:rStyle w:val="672"/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https://www.facebook.com/share/p/18uRPba8uB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/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</w:p>
        </w:tc>
      </w:tr>
    </w:tbl>
    <w:p>
      <w:pPr>
        <w:pBdr/>
        <w:spacing w:after="100" w:afterAutospacing="1" w:line="240" w:lineRule="auto"/>
        <w:ind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</w:r>
      <w:r>
        <w:rPr>
          <w:rFonts w:ascii="Times New Roman" w:hAnsi="Times New Roman" w:cs="Times New Roman"/>
          <w:sz w:val="26"/>
          <w:szCs w:val="26"/>
          <w:lang w:val="uk-UA"/>
        </w:rPr>
      </w:r>
    </w:p>
    <w:sectPr>
      <w:footnotePr/>
      <w:endnotePr/>
      <w:type w:val="nextPage"/>
      <w:pgSz w:h="16838" w:orient="portrait" w:w="11906"/>
      <w:pgMar w:top="567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B16E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 w:after="160"/>
      <w:ind/>
    </w:pPr>
    <w:rPr>
      <w:sz w:val="24"/>
      <w:szCs w:val="24"/>
      <w:lang w:val="en-US"/>
    </w:r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table" w:styleId="670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1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672">
    <w:name w:val="Hyperlink"/>
    <w:basedOn w:val="667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facebook.com/share/p/1bBXJKHZZc/" TargetMode="External"/><Relationship Id="rId10" Type="http://schemas.openxmlformats.org/officeDocument/2006/relationships/hyperlink" Target="https://www.facebook.com/share/r/1DdjX91CJU/" TargetMode="External"/><Relationship Id="rId11" Type="http://schemas.openxmlformats.org/officeDocument/2006/relationships/hyperlink" Target="https://www.facebook.com/share/p/1CZCWdy6bQ/" TargetMode="External"/><Relationship Id="rId12" Type="http://schemas.openxmlformats.org/officeDocument/2006/relationships/hyperlink" Target="https://www.facebook.com/share/p/1BD9RFvaAX/" TargetMode="External"/><Relationship Id="rId13" Type="http://schemas.openxmlformats.org/officeDocument/2006/relationships/hyperlink" Target="https://economy.cg.gov.ua/index.php?id=545919&amp;tp=0" TargetMode="External"/><Relationship Id="rId14" Type="http://schemas.openxmlformats.org/officeDocument/2006/relationships/hyperlink" Target="https://www.facebook.com/share/p/18uRPba8u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00202</dc:creator>
  <cp:lastModifiedBy>Свириденко А. П. </cp:lastModifiedBy>
  <cp:revision>7</cp:revision>
  <dcterms:created xsi:type="dcterms:W3CDTF">2026-06-29T13:41:00Z</dcterms:created>
  <dcterms:modified xsi:type="dcterms:W3CDTF">2026-07-01T07:18:29Z</dcterms:modified>
</cp:coreProperties>
</file>